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2000 mm x 60 mm x 135 mm.</w:t>
      </w:r>
    </w:p>
    <w:p>
      <w:pPr>
        <w:numPr>
          <w:ilvl w:val="0"/>
          <w:numId w:val="3"/>
        </w:numPr>
      </w:pPr>
      <w:r>
        <w:rPr/>
        <w:t xml:space="preserve">Lichtstrom: 13250 lm, Spezifischer Lichtstrom: 127 lm/W.</w:t>
      </w:r>
    </w:p>
    <w:p>
      <w:pPr>
        <w:numPr>
          <w:ilvl w:val="0"/>
          <w:numId w:val="3"/>
        </w:numPr>
      </w:pPr>
      <w:r>
        <w:rPr/>
        <w:t xml:space="preserve">Anschlussleistung: 104.0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8147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2025-03-01T19:31:06+01:00</dcterms:created>
  <dcterms:modified xsi:type="dcterms:W3CDTF">2025-03-01T19:31:06+01:00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