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E4410/LED2N120D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Industrie-Lichtband-Leuchte in schlankem Design. Überspannungsschutz (LN/PE): 1kV/2kV (für leichte industrielle Umgebungen).</w:t>
      </w:r>
    </w:p>
    <w:p>
      <w:pPr>
        <w:numPr>
          <w:ilvl w:val="0"/>
          <w:numId w:val="3"/>
        </w:numPr>
      </w:pPr>
      <w:r>
        <w:rPr/>
        <w:t xml:space="preserve">DUAL●LENS Optik, Polycarbonat (PC), asymmetrisch Lichtverteilung.</w:t>
      </w:r>
    </w:p>
    <w:p>
      <w:pPr>
        <w:numPr>
          <w:ilvl w:val="0"/>
          <w:numId w:val="3"/>
        </w:numPr>
      </w:pPr>
      <w:r>
        <w:rPr/>
        <w:t xml:space="preserve">Abmessungen: 2060 mm x 60 mm x 135 mm.</w:t>
      </w:r>
    </w:p>
    <w:p>
      <w:pPr>
        <w:numPr>
          <w:ilvl w:val="0"/>
          <w:numId w:val="3"/>
        </w:numPr>
      </w:pPr>
      <w:r>
        <w:rPr/>
        <w:t xml:space="preserve">Lichtstrom: 13000 lm, Spezifischer Lichtstrom: 128 lm/W.</w:t>
      </w:r>
    </w:p>
    <w:p>
      <w:pPr>
        <w:numPr>
          <w:ilvl w:val="0"/>
          <w:numId w:val="3"/>
        </w:numPr>
      </w:pPr>
      <w:r>
        <w:rPr/>
        <w:t xml:space="preserve">Anschlussleistung: 102.0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99%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Lackiertes aluminium Gehäuse, RAL9016 - Verkehrsweiß.</w:t>
      </w:r>
    </w:p>
    <w:p>
      <w:pPr>
        <w:numPr>
          <w:ilvl w:val="0"/>
          <w:numId w:val="3"/>
        </w:numPr>
      </w:pPr>
      <w:r>
        <w:rPr/>
        <w:t xml:space="preserve">IP-Schutzart: IP40.</w:t>
      </w:r>
    </w:p>
    <w:p>
      <w:pPr>
        <w:numPr>
          <w:ilvl w:val="0"/>
          <w:numId w:val="3"/>
        </w:numPr>
      </w:pPr>
      <w:r>
        <w:rPr/>
        <w:t xml:space="preserve">IK-Schutzart: IK06.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98230F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2025-03-01T19:21:35+01:00</dcterms:created>
  <dcterms:modified xsi:type="dcterms:W3CDTF">2025-03-01T19:21:35+01:00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