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Dimensiones: 2000 mm x 60 mm x 135 mm.</w:t>
      </w:r>
    </w:p>
    <w:p>
      <w:pPr>
        <w:numPr>
          <w:ilvl w:val="0"/>
          <w:numId w:val="3"/>
        </w:numPr>
      </w:pPr>
      <w:r>
        <w:rPr/>
        <w:t xml:space="preserve">Flujo luminoso: 13000 lm, Flujo luminoso específico: 131 lm/W.</w:t>
      </w:r>
    </w:p>
    <w:p>
      <w:pPr>
        <w:numPr>
          <w:ilvl w:val="0"/>
          <w:numId w:val="3"/>
        </w:numPr>
      </w:pPr>
      <w:r>
        <w:rPr/>
        <w:t xml:space="preserve">Consumo de energía: 99.0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4864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2025-03-01T19:34:17+01:00</dcterms:created>
  <dcterms:modified xsi:type="dcterms:W3CDTF">2025-03-01T19:34:17+01:00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