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doble distribución luminosa.</w:t>
      </w:r>
    </w:p>
    <w:p>
      <w:pPr>
        <w:numPr>
          <w:ilvl w:val="0"/>
          <w:numId w:val="3"/>
        </w:numPr>
      </w:pPr>
      <w:r>
        <w:rPr/>
        <w:t xml:space="preserve">Dimensiones: 2000 mm x 60 mm x 135 mm.</w:t>
      </w:r>
    </w:p>
    <w:p>
      <w:pPr>
        <w:numPr>
          <w:ilvl w:val="0"/>
          <w:numId w:val="3"/>
        </w:numPr>
      </w:pPr>
      <w:r>
        <w:rPr/>
        <w:t xml:space="preserve">Flujo luminoso: 6450 lm, Flujo luminoso específico: 122 lm/W.</w:t>
      </w:r>
    </w:p>
    <w:p>
      <w:pPr>
        <w:numPr>
          <w:ilvl w:val="0"/>
          <w:numId w:val="3"/>
        </w:numPr>
      </w:pPr>
      <w:r>
        <w:rPr/>
        <w:t xml:space="preserve">Consumo de energía: 53.0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22 conforme a la norma EN 12464-1 para demanda visual moderada.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E1E6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2025-03-01T19:22:43+01:00</dcterms:created>
  <dcterms:modified xsi:type="dcterms:W3CDTF">2025-03-01T19:22:43+01:00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