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doble distribución luminosa.</w:t>
      </w:r>
    </w:p>
    <w:p>
      <w:pPr>
        <w:numPr>
          <w:ilvl w:val="0"/>
          <w:numId w:val="3"/>
        </w:numPr>
      </w:pPr>
      <w:r>
        <w:rPr/>
        <w:t xml:space="preserve">Dimensiones: 4000 mm x 60 mm x 135 mm.</w:t>
      </w:r>
    </w:p>
    <w:p>
      <w:pPr>
        <w:numPr>
          <w:ilvl w:val="0"/>
          <w:numId w:val="3"/>
        </w:numPr>
      </w:pPr>
      <w:r>
        <w:rPr/>
        <w:t xml:space="preserve">Flujo luminoso: 10250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77.0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22 conforme a la norma EN 12464-1 para demanda visual moderada.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0E4E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2025-03-01T19:38:53+01:00</dcterms:created>
  <dcterms:modified xsi:type="dcterms:W3CDTF">2025-03-01T19:38:53+01:00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