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E4610/LED15W090S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assimétrica dupla distribuição luminosa.</w:t>
      </w:r>
    </w:p>
    <w:p>
      <w:pPr>
        <w:numPr>
          <w:ilvl w:val="0"/>
          <w:numId w:val="3"/>
        </w:numPr>
      </w:pPr>
      <w:r>
        <w:rPr/>
        <w:t xml:space="preserve">Dimensões: 1560 mm x 60 mm x 135 mm.</w:t>
      </w:r>
    </w:p>
    <w:p>
      <w:pPr>
        <w:numPr>
          <w:ilvl w:val="0"/>
          <w:numId w:val="3"/>
        </w:numPr>
      </w:pPr>
      <w:r>
        <w:rPr/>
        <w:t xml:space="preserve">Fluxo luminoso: 9800 lm, Fluxo luminoso específico: 127 lm/W.</w:t>
      </w:r>
    </w:p>
    <w:p>
      <w:pPr>
        <w:numPr>
          <w:ilvl w:val="0"/>
          <w:numId w:val="3"/>
        </w:numPr>
      </w:pPr>
      <w:r>
        <w:rPr/>
        <w:t xml:space="preserve">Potência: 77.0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52876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2025-03-01T19:39:24+01:00</dcterms:created>
  <dcterms:modified xsi:type="dcterms:W3CDTF">2025-03-01T19:39:24+01:00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