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doppelt-asymmetrisch Lichtverteilung.</w:t>
      </w:r>
    </w:p>
    <w:p>
      <w:pPr>
        <w:numPr>
          <w:ilvl w:val="0"/>
          <w:numId w:val="3"/>
        </w:numPr>
      </w:pPr>
      <w:r>
        <w:rPr/>
        <w:t xml:space="preserve">Abmessungen: 2000 mm x 60 mm x 135 mm.</w:t>
      </w:r>
    </w:p>
    <w:p>
      <w:pPr>
        <w:numPr>
          <w:ilvl w:val="0"/>
          <w:numId w:val="3"/>
        </w:numPr>
      </w:pPr>
      <w:r>
        <w:rPr/>
        <w:t xml:space="preserve">Lichtstrom: 13100 lm, Spezifischer Lichtstrom: 126 lm/W.</w:t>
      </w:r>
    </w:p>
    <w:p>
      <w:pPr>
        <w:numPr>
          <w:ilvl w:val="0"/>
          <w:numId w:val="3"/>
        </w:numPr>
      </w:pPr>
      <w:r>
        <w:rPr/>
        <w:t xml:space="preserve">Anschlussleistung: 104.0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7DD8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2025-03-01T19:54:31+01:00</dcterms:created>
  <dcterms:modified xsi:type="dcterms:W3CDTF">2025-03-01T19:54:31+01:00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