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E4615/LED4N120S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 with sleek design.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double asymmetric light distribution.</w:t>
      </w:r>
    </w:p>
    <w:p>
      <w:pPr>
        <w:numPr>
          <w:ilvl w:val="0"/>
          <w:numId w:val="3"/>
        </w:numPr>
      </w:pPr>
      <w:r>
        <w:rPr/>
        <w:t xml:space="preserve">Dimensions: 4000 mm x 60 mm x 135 mm.</w:t>
      </w:r>
    </w:p>
    <w:p>
      <w:pPr>
        <w:numPr>
          <w:ilvl w:val="0"/>
          <w:numId w:val="3"/>
        </w:numPr>
      </w:pPr>
      <w:r>
        <w:rPr/>
        <w:t xml:space="preserve">Luminous flux: 13200 lm, Luminous efficacy: 133 lm/W.</w:t>
      </w:r>
    </w:p>
    <w:p>
      <w:pPr>
        <w:numPr>
          <w:ilvl w:val="0"/>
          <w:numId w:val="3"/>
        </w:numPr>
      </w:pPr>
      <w:r>
        <w:rPr/>
        <w:t xml:space="preserve">Power: 99.0 W, not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99%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DUAL●LENS™ with UGR &lt;= 25 conform norm EN 12464-1 for low visual and concentration demands, frequent mobility.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IP40.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44EBA9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2025-03-01T19:55:16+01:00</dcterms:created>
  <dcterms:modified xsi:type="dcterms:W3CDTF">2025-03-01T19:55:16+01:00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