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E5A-S106-4N-840-100S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 Überspannungsschutz (LN/PE): 1kV/2kV (für leichte industrielle Umgebungen).</w:t>
      </w:r>
    </w:p>
    <w:p>
      <w:pPr>
        <w:numPr>
          <w:ilvl w:val="0"/>
          <w:numId w:val="3"/>
        </w:numPr>
      </w:pPr>
      <w:r>
        <w:rPr/>
        <w:t xml:space="preserve">DUAL●LENS Optik, Polycarbonat (PC), asymmetrisch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1518 mm x 60 mm x 100 mm.</w:t>
      </w:r>
    </w:p>
    <w:p>
      <w:pPr>
        <w:numPr>
          <w:ilvl w:val="0"/>
          <w:numId w:val="3"/>
        </w:numPr>
      </w:pPr>
      <w:r>
        <w:rPr/>
        <w:t xml:space="preserve">Lichtstrom: 10000 lm, Spezifischer Lichtstrom: 139 lm/W.</w:t>
      </w:r>
    </w:p>
    <w:p>
      <w:pPr>
        <w:numPr>
          <w:ilvl w:val="0"/>
          <w:numId w:val="3"/>
        </w:numPr>
      </w:pPr>
      <w:r>
        <w:rPr/>
        <w:t xml:space="preserve">Anschlussleistung: 72.0 W, nicht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99%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Fotobiologische Sicherheit IEC/TR 62778: RG1.</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C6E10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2024-04-29T12:55:11+02:00</dcterms:created>
  <dcterms:modified xsi:type="dcterms:W3CDTF">2024-04-29T12:55:11+02:00</dcterms:modified>
</cp:coreProperties>
</file>

<file path=docProps/custom.xml><?xml version="1.0" encoding="utf-8"?>
<Properties xmlns="http://schemas.openxmlformats.org/officeDocument/2006/custom-properties" xmlns:vt="http://schemas.openxmlformats.org/officeDocument/2006/docPropsVTypes"/>
</file>