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E5A-S106-4N-840-100S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 Protection contre les surtensions (LN/PE): 1kV/2kV (pour les environnements industriels légers).</w:t>
      </w:r>
    </w:p>
    <w:p>
      <w:pPr>
        <w:numPr>
          <w:ilvl w:val="0"/>
          <w:numId w:val="3"/>
        </w:numPr>
      </w:pPr>
      <w:r>
        <w:rPr/>
        <w:t xml:space="preserve">Dual●lens , optique polycarbonate (PC), distribution lumineuse asymétrique .</w:t>
      </w:r>
    </w:p>
    <w:p>
      <w:pPr>
        <w:numPr>
          <w:ilvl w:val="0"/>
          <w:numId w:val="3"/>
        </w:numPr>
      </w:pPr>
      <w:r>
        <w:rPr/>
        <w:t xml:space="preserve">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w:t>
      </w:r>
    </w:p>
    <w:p>
      <w:pPr>
        <w:numPr>
          <w:ilvl w:val="0"/>
          <w:numId w:val="3"/>
        </w:numPr>
      </w:pPr>
      <w:r>
        <w:rPr/>
        <w:t xml:space="preserve">Dimensions: 1518 mm x 60 mm x 100 mm.</w:t>
      </w:r>
    </w:p>
    <w:p>
      <w:pPr>
        <w:numPr>
          <w:ilvl w:val="0"/>
          <w:numId w:val="3"/>
        </w:numPr>
      </w:pPr>
      <w:r>
        <w:rPr/>
        <w:t xml:space="preserve">individuel linéaire</w:t>
      </w:r>
    </w:p>
    <w:p>
      <w:pPr>
        <w:numPr>
          <w:ilvl w:val="0"/>
          <w:numId w:val="3"/>
        </w:numPr>
      </w:pPr>
      <w:r>
        <w:rPr/>
        <w:t xml:space="preserve">Flux lumineux: 10000 lm, Efficacité lumineuse: 139 lm/W.</w:t>
      </w:r>
    </w:p>
    <w:p>
      <w:pPr>
        <w:numPr>
          <w:ilvl w:val="0"/>
          <w:numId w:val="3"/>
        </w:numPr>
      </w:pPr>
      <w:r>
        <w:rPr/>
        <w:t xml:space="preserve">Consommation de courant: 72.0 W, non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99%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aluminium laqué, RAL9016 - blanc signalisation.</w:t>
      </w:r>
    </w:p>
    <w:p>
      <w:pPr>
        <w:numPr>
          <w:ilvl w:val="0"/>
          <w:numId w:val="3"/>
        </w:numPr>
      </w:pPr>
      <w:r>
        <w:rPr/>
        <w:t xml:space="preserve">Degré de protection IP: IP20.</w:t>
      </w:r>
    </w:p>
    <w:p>
      <w:pPr>
        <w:numPr>
          <w:ilvl w:val="0"/>
          <w:numId w:val="3"/>
        </w:numPr>
      </w:pPr>
      <w:r>
        <w:rPr/>
        <w:t xml:space="preserve">Degré de protection IK: IK06.</w:t>
      </w:r>
    </w:p>
    <w:p>
      <w:pPr>
        <w:numPr>
          <w:ilvl w:val="0"/>
          <w:numId w:val="3"/>
        </w:numPr>
      </w:pPr>
      <w:r>
        <w:rPr/>
        <w:t xml:space="preserve">Source lumineuse remplaçable (LED uniquement) par un professionnel. Appareil de contrôle remplaçable par un professionnel.</w:t>
      </w:r>
    </w:p>
    <w:p>
      <w:pPr>
        <w:numPr>
          <w:ilvl w:val="0"/>
          <w:numId w:val="3"/>
        </w:numPr>
      </w:pPr>
      <w:r>
        <w:rPr/>
        <w:t xml:space="preserve">Classe d'efficacité énergétique source lumineuse selon directive UE 2019/2015: C.</w:t>
      </w:r>
    </w:p>
    <w:p>
      <w:pPr>
        <w:numPr>
          <w:ilvl w:val="0"/>
          <w:numId w:val="3"/>
        </w:numPr>
      </w:pPr>
      <w:r>
        <w:rPr/>
        <w:t xml:space="preserve">Essai au fil incandescent: 850°C.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03579E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2025-03-13T10:17:01+01:00</dcterms:created>
  <dcterms:modified xsi:type="dcterms:W3CDTF">2025-03-13T10:17:01+01:00</dcterms:modified>
</cp:coreProperties>
</file>

<file path=docProps/custom.xml><?xml version="1.0" encoding="utf-8"?>
<Properties xmlns="http://schemas.openxmlformats.org/officeDocument/2006/custom-properties" xmlns:vt="http://schemas.openxmlformats.org/officeDocument/2006/docPropsVTypes"/>
</file>