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Flujo luminoso: 10000 lm, Flujo luminoso específico: 140 lm/W.</w:t>
      </w:r>
    </w:p>
    <w:p>
      <w:pPr>
        <w:numPr>
          <w:ilvl w:val="0"/>
          <w:numId w:val="3"/>
        </w:numPr>
      </w:pPr>
      <w:r>
        <w:rPr/>
        <w:t xml:space="preserve">Consumo de energía: 71.5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Coincidencia de color de desviación estándar : 3SDCM.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 (texturizado).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EB1C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2024-04-29T12:55:23+02:00</dcterms:created>
  <dcterms:modified xsi:type="dcterms:W3CDTF">2024-04-29T12:55:23+02:00</dcterms:modified>
</cp:coreProperties>
</file>

<file path=docProps/custom.xml><?xml version="1.0" encoding="utf-8"?>
<Properties xmlns="http://schemas.openxmlformats.org/officeDocument/2006/custom-properties" xmlns:vt="http://schemas.openxmlformats.org/officeDocument/2006/docPropsVTypes"/>
</file>