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E5A-S506-0N-840-060D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Luminaria industrial lineal. Protección contra sobretensiones (LN/PE): 1kV/2kV (para entornos industriales ligeros).</w:t>
      </w:r>
    </w:p>
    <w:p>
      <w:pPr>
        <w:numPr>
          <w:ilvl w:val="0"/>
          <w:numId w:val="3"/>
        </w:numPr>
      </w:pPr>
      <w:r>
        <w:rPr/>
        <w:t xml:space="preserve">DUAL●LENS óptica, policarbonato (PC), intensiva distribución luminosa.</w:t>
      </w:r>
    </w:p>
    <w:p>
      <w:pPr>
        <w:numPr>
          <w:ilvl w:val="0"/>
          <w:numId w:val="3"/>
        </w:numPr>
      </w:pPr>
      <w:r>
        <w:rPr/>
        <w:t xml:space="preserve">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w:t>
      </w:r>
    </w:p>
    <w:p>
      <w:pPr>
        <w:numPr>
          <w:ilvl w:val="0"/>
          <w:numId w:val="3"/>
        </w:numPr>
      </w:pPr>
      <w:r>
        <w:rPr/>
        <w:t xml:space="preserve">Dimensiones: 1498 mm x 60 mm x 100 mm.</w:t>
      </w:r>
    </w:p>
    <w:p>
      <w:pPr>
        <w:numPr>
          <w:ilvl w:val="0"/>
          <w:numId w:val="3"/>
        </w:numPr>
      </w:pPr>
      <w:r>
        <w:rPr/>
        <w:t xml:space="preserve">Flujo luminoso: 6000 lm, Flujo luminoso específico: 143 lm/W.</w:t>
      </w:r>
    </w:p>
    <w:p>
      <w:pPr>
        <w:numPr>
          <w:ilvl w:val="0"/>
          <w:numId w:val="3"/>
        </w:numPr>
      </w:pPr>
      <w:r>
        <w:rPr/>
        <w:t xml:space="preserve">Consumo de energía: 42.0 W, DALI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99%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Coincidencia de color de desviación estándar : 3SDCM.</w:t>
      </w:r>
    </w:p>
    <w:p>
      <w:pPr>
        <w:numPr>
          <w:ilvl w:val="0"/>
          <w:numId w:val="3"/>
        </w:numPr>
      </w:pPr>
      <w:r>
        <w:rPr/>
        <w:t xml:space="preserve">DUAL●LENS™ con UGR &lt;= 22 conforme a la norma EN 12464-1 para demanda visual moderada.</w:t>
      </w:r>
    </w:p>
    <w:p>
      <w:pPr>
        <w:numPr>
          <w:ilvl w:val="0"/>
          <w:numId w:val="3"/>
        </w:numPr>
      </w:pPr>
      <w:r>
        <w:rPr/>
        <w:t xml:space="preserve">Seguridad fotobiológic EN 62471: RISK GROUP 1 UNLIMITED.</w:t>
      </w:r>
    </w:p>
    <w:p>
      <w:pPr>
        <w:numPr>
          <w:ilvl w:val="0"/>
          <w:numId w:val="3"/>
        </w:numPr>
      </w:pPr>
      <w:r>
        <w:rPr/>
        <w:t xml:space="preserve">Aluminio lacado carcasa, RAL9016 - Blanco tráfico (texturizado).</w:t>
      </w:r>
    </w:p>
    <w:p>
      <w:pPr>
        <w:numPr>
          <w:ilvl w:val="0"/>
          <w:numId w:val="3"/>
        </w:numPr>
      </w:pPr>
      <w:r>
        <w:rPr/>
        <w:t xml:space="preserve">Grado de protección IP: IP20.</w:t>
      </w:r>
    </w:p>
    <w:p>
      <w:pPr>
        <w:numPr>
          <w:ilvl w:val="0"/>
          <w:numId w:val="3"/>
        </w:numPr>
      </w:pPr>
      <w:r>
        <w:rPr/>
        <w:t xml:space="preserve">Grado de protección IK: IK06.</w:t>
      </w:r>
    </w:p>
    <w:p>
      <w:pPr>
        <w:numPr>
          <w:ilvl w:val="0"/>
          <w:numId w:val="3"/>
        </w:numPr>
      </w:pPr>
      <w:r>
        <w:rPr/>
        <w:t xml:space="preserve">Comprobación del filamento: 850°C.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pPr>
        <w:numPr>
          <w:ilvl w:val="0"/>
          <w:numId w:val="3"/>
        </w:numPr>
      </w:pPr>
      <w:r>
        <w:rPr/>
        <w:t xml:space="preserve">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B217E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2024-04-29T12:55:31+02:00</dcterms:created>
  <dcterms:modified xsi:type="dcterms:W3CDTF">2024-04-29T12:55:31+02:00</dcterms:modified>
</cp:coreProperties>
</file>

<file path=docProps/custom.xml><?xml version="1.0" encoding="utf-8"?>
<Properties xmlns="http://schemas.openxmlformats.org/officeDocument/2006/custom-properties" xmlns:vt="http://schemas.openxmlformats.org/officeDocument/2006/docPropsVTypes"/>
</file>