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extensiva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1498 mm x 60 mm x 100 mm.</w:t>
      </w:r>
    </w:p>
    <w:p>
      <w:pPr>
        <w:numPr>
          <w:ilvl w:val="0"/>
          <w:numId w:val="3"/>
        </w:numPr>
      </w:pPr>
      <w:r>
        <w:rPr/>
        <w:t xml:space="preserve">Flujo luminoso: 10000 lm, Flujo luminoso específico: 143 lm/W.</w:t>
      </w:r>
    </w:p>
    <w:p>
      <w:pPr>
        <w:numPr>
          <w:ilvl w:val="0"/>
          <w:numId w:val="3"/>
        </w:numPr>
      </w:pPr>
      <w:r>
        <w:rPr/>
        <w:t xml:space="preserve">Consumo de energía: 70.0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Coincidencia de color de desviación estándar : 3SDCM.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 (texturizado).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8B446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2024-04-29T12:55:57+02:00</dcterms:created>
  <dcterms:modified xsi:type="dcterms:W3CDTF">2024-04-29T12:55:57+02:00</dcterms:modified>
</cp:coreProperties>
</file>

<file path=docProps/custom.xml><?xml version="1.0" encoding="utf-8"?>
<Properties xmlns="http://schemas.openxmlformats.org/officeDocument/2006/custom-properties" xmlns:vt="http://schemas.openxmlformats.org/officeDocument/2006/docPropsVTypes"/>
</file>