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E5A-S506-6N-840-100D</w:t>
      </w:r>
    </w:p>
    <w:p/>
    <w:p>
      <w:pPr/>
      <w:r>
        <w:pict>
          <v:shape type="#_x0000_t75" stroked="f"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Optique Dual●lens , polycarbonate (PC), distribution lumineuse doublement asymétrique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1498 mm x 60 mm x 100 mm.</w:t>
      </w:r>
    </w:p>
    <w:p>
      <w:pPr>
        <w:numPr>
          <w:ilvl w:val="0"/>
          <w:numId w:val="3"/>
        </w:numPr>
      </w:pPr>
      <w:r>
        <w:rPr/>
        <w:t xml:space="preserve">ligne milieu</w:t>
      </w:r>
    </w:p>
    <w:p>
      <w:pPr>
        <w:numPr>
          <w:ilvl w:val="0"/>
          <w:numId w:val="3"/>
        </w:numPr>
      </w:pPr>
      <w:r>
        <w:rPr/>
        <w:t xml:space="preserve">Flux lumineux: 10000 lm, Efficacité lumineuse: 140 lm/W.</w:t>
      </w:r>
    </w:p>
    <w:p>
      <w:pPr>
        <w:numPr>
          <w:ilvl w:val="0"/>
          <w:numId w:val="3"/>
        </w:numPr>
      </w:pPr>
      <w:r>
        <w:rPr/>
        <w:t xml:space="preserve">Consommation de courant: 71.5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25 conforme à la norme EN 12464-1 pour de faibles exigences visuelles et de concentration, mobilité fréquente.</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6B7B6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2025-06-02T10:45:20+02:00</dcterms:created>
  <dcterms:modified xsi:type="dcterms:W3CDTF">2025-06-02T10:45:20+02:00</dcterms:modified>
</cp:coreProperties>
</file>

<file path=docProps/custom.xml><?xml version="1.0" encoding="utf-8"?>
<Properties xmlns="http://schemas.openxmlformats.org/officeDocument/2006/custom-properties" xmlns:vt="http://schemas.openxmlformats.org/officeDocument/2006/docPropsVTypes"/>
</file>