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E5A-S606-0N-840-100D</w:t>
      </w:r>
    </w:p>
    <w:p/>
    <w:p>
      <w:pPr/>
      <w:r>
        <w:pict>
          <v:shape type="#_x0000_t75" stroked="f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industrial. Proteção contra sobretensões (LN/PE): 1kV/2kV (para ambientes industriais leves)</w:t>
      </w:r>
    </w:p>
    <w:p>
      <w:pPr>
        <w:numPr>
          <w:ilvl w:val="0"/>
          <w:numId w:val="3"/>
        </w:numPr>
      </w:pPr>
      <w:r>
        <w:rPr/>
        <w:t xml:space="preserve">DUAL●LENS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1508 mm x 60 mm x 100 mm.</w:t>
      </w:r>
    </w:p>
    <w:p>
      <w:pPr>
        <w:numPr>
          <w:ilvl w:val="0"/>
          <w:numId w:val="3"/>
        </w:numPr>
      </w:pPr>
      <w:r>
        <w:rPr/>
        <w:t xml:space="preserve">fim da linha</w:t>
      </w:r>
    </w:p>
    <w:p>
      <w:pPr>
        <w:numPr>
          <w:ilvl w:val="0"/>
          <w:numId w:val="3"/>
        </w:numPr>
      </w:pPr>
      <w:r>
        <w:rPr/>
        <w:t xml:space="preserve">Fluxo luminoso: 9750 lm, Fluxo luminoso específico: 133 lm/W.</w:t>
      </w:r>
    </w:p>
    <w:p>
      <w:pPr>
        <w:numPr>
          <w:ilvl w:val="0"/>
          <w:numId w:val="3"/>
        </w:numPr>
      </w:pPr>
      <w:r>
        <w:rPr/>
        <w:t xml:space="preserve">Potência: 73.5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C44E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2025-06-02T10:45:30+02:00</dcterms:created>
  <dcterms:modified xsi:type="dcterms:W3CDTF">2025-06-02T10:45:30+02:00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