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E5A-S606-2N-840-100D</w:t>
      </w:r>
    </w:p>
    <w:p/>
    <w:p>
      <w:pPr/>
      <w:r>
        <w:pict>
          <v:shape type="#_x0000_t75" style="width:250pt; height:15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Dual●lens , optique polycarbonate (PC), distribution lumineuse extensive .</w:t>
      </w:r>
    </w:p>
    <w:p>
      <w:pPr>
        <w:numPr>
          <w:ilvl w:val="0"/>
          <w:numId w:val="3"/>
        </w:numPr>
      </w:pPr>
      <w:r>
        <w:rPr/>
        <w:t xml:space="preserve">Module pour montage sur profilé de base. Profilé de base en acier robuste et rigide de 0,8 mm. Module en aluminium laqué. Montage sans outil du module sur l’embase. Adapté au rétrofit sur les systèmes ETAP E5 fluo. Raccordement électrique dans l’embase avec fiche de sélection de phase.</w:t>
      </w:r>
    </w:p>
    <w:p>
      <w:pPr>
        <w:numPr>
          <w:ilvl w:val="0"/>
          <w:numId w:val="3"/>
        </w:numPr>
      </w:pPr>
      <w:r>
        <w:rPr/>
        <w:t xml:space="preserve">Dimensions: 1508 mm x 60 mm x 100 mm.</w:t>
      </w:r>
    </w:p>
    <w:p>
      <w:pPr>
        <w:numPr>
          <w:ilvl w:val="0"/>
          <w:numId w:val="3"/>
        </w:numPr>
      </w:pPr>
      <w:r>
        <w:rPr/>
        <w:t xml:space="preserve">ligne fin</w:t>
      </w:r>
    </w:p>
    <w:p>
      <w:pPr>
        <w:numPr>
          <w:ilvl w:val="0"/>
          <w:numId w:val="3"/>
        </w:numPr>
      </w:pPr>
      <w:r>
        <w:rPr/>
        <w:t xml:space="preserve">Flux lumineux: 10000 lm, Efficacité lumineuse: 142 lm/W.</w:t>
      </w:r>
    </w:p>
    <w:p>
      <w:pPr>
        <w:numPr>
          <w:ilvl w:val="0"/>
          <w:numId w:val="3"/>
        </w:numPr>
      </w:pPr>
      <w:r>
        <w:rPr/>
        <w:t xml:space="preserve">Consommation de courant: 70.5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99%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DUAL●LENS™ avec UGR &lt;= 25 conforme à la norme EN 12464-1 pour de faibles exigences visuelles et de concentration, mobilité fréquente.</w:t>
      </w:r>
    </w:p>
    <w:p>
      <w:pPr>
        <w:numPr>
          <w:ilvl w:val="0"/>
          <w:numId w:val="3"/>
        </w:numPr>
      </w:pPr>
      <w:r>
        <w:rPr/>
        <w:t xml:space="preserve">Sécurité photobiologique IEC/TR 62778: RG1.</w:t>
      </w:r>
    </w:p>
    <w:p>
      <w:pPr>
        <w:numPr>
          <w:ilvl w:val="0"/>
          <w:numId w:val="3"/>
        </w:numPr>
      </w:pPr>
      <w:r>
        <w:rPr/>
        <w:t xml:space="preserve">Caisson: aluminium laqué, RAL9016 - blanc signalisation.</w:t>
      </w:r>
    </w:p>
    <w:p>
      <w:pPr>
        <w:numPr>
          <w:ilvl w:val="0"/>
          <w:numId w:val="3"/>
        </w:numPr>
      </w:pPr>
      <w:r>
        <w:rPr/>
        <w:t xml:space="preserve">Degré de protection IP: IP20.</w:t>
      </w:r>
    </w:p>
    <w:p>
      <w:pPr>
        <w:numPr>
          <w:ilvl w:val="0"/>
          <w:numId w:val="3"/>
        </w:numPr>
      </w:pPr>
      <w:r>
        <w:rPr/>
        <w:t xml:space="preserve">Degré de protection IK: IK06.</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Essai au fil incandescent: 850°C.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83B51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2025-03-13T10:26:29+01:00</dcterms:created>
  <dcterms:modified xsi:type="dcterms:W3CDTF">2025-03-13T10:26:29+01:00</dcterms:modified>
</cp:coreProperties>
</file>

<file path=docProps/custom.xml><?xml version="1.0" encoding="utf-8"?>
<Properties xmlns="http://schemas.openxmlformats.org/officeDocument/2006/custom-properties" xmlns:vt="http://schemas.openxmlformats.org/officeDocument/2006/docPropsVTypes"/>
</file>