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E5A-S606-6N-840-100D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1508 mm x 60 mm x 100 mm.</w:t>
      </w:r>
    </w:p>
    <w:p>
      <w:pPr>
        <w:numPr>
          <w:ilvl w:val="0"/>
          <w:numId w:val="3"/>
        </w:numPr>
      </w:pPr>
      <w:r>
        <w:rPr/>
        <w:t xml:space="preserve">Line end</w:t>
      </w:r>
    </w:p>
    <w:p>
      <w:pPr>
        <w:numPr>
          <w:ilvl w:val="0"/>
          <w:numId w:val="3"/>
        </w:numPr>
      </w:pPr>
      <w:r>
        <w:rPr/>
        <w:t xml:space="preserve">Luminous flux: 10000 lm, Luminous efficacy: 140 lm/W.</w:t>
      </w:r>
    </w:p>
    <w:p>
      <w:pPr>
        <w:numPr>
          <w:ilvl w:val="0"/>
          <w:numId w:val="3"/>
        </w:numPr>
      </w:pPr>
      <w:r>
        <w:rPr/>
        <w:t xml:space="preserve">Power: 71.5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54CE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2025-03-13T10:26:55+01:00</dcterms:created>
  <dcterms:modified xsi:type="dcterms:W3CDTF">2025-03-13T10:26:55+01:00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