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E5B-S714-2A-840-050S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Multilens , optique acrylique (PMMA), distribution lumineuse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78 mm x 31 mm.</w:t>
      </w:r>
    </w:p>
    <w:p>
      <w:pPr>
        <w:numPr>
          <w:ilvl w:val="0"/>
          <w:numId w:val="3"/>
        </w:numPr>
      </w:pPr>
      <w:r>
        <w:rPr/>
        <w:t xml:space="preserve">Flux lumineux: 5000 lm, Efficacité lumineuse: 156 lm/W.</w:t>
      </w:r>
    </w:p>
    <w:p>
      <w:pPr>
        <w:numPr>
          <w:ilvl w:val="0"/>
          <w:numId w:val="3"/>
        </w:numPr>
      </w:pPr>
      <w:r>
        <w:rPr/>
        <w:t xml:space="preserve">Consommation de courant: 32.0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95%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95631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2025-03-01T19:59:43+01:00</dcterms:created>
  <dcterms:modified xsi:type="dcterms:W3CDTF">2025-03-01T19:59:43+01:00</dcterms:modified>
</cp:coreProperties>
</file>

<file path=docProps/custom.xml><?xml version="1.0" encoding="utf-8"?>
<Properties xmlns="http://schemas.openxmlformats.org/officeDocument/2006/custom-properties" xmlns:vt="http://schemas.openxmlformats.org/officeDocument/2006/docPropsVTypes"/>
</file>