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Multilens Optik, acryl (PMMA), 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1152 mm x 78 mm x 31 mm.</w:t>
      </w:r>
    </w:p>
    <w:p>
      <w:pPr>
        <w:numPr>
          <w:ilvl w:val="0"/>
          <w:numId w:val="3"/>
        </w:numPr>
      </w:pPr>
      <w:r>
        <w:rPr/>
        <w:t xml:space="preserve">Lichtstrom: 9000 lm, Spezifischer Lichtstrom: 143 lm/W.</w:t>
      </w:r>
    </w:p>
    <w:p>
      <w:pPr>
        <w:numPr>
          <w:ilvl w:val="0"/>
          <w:numId w:val="3"/>
        </w:numPr>
      </w:pPr>
      <w:r>
        <w:rPr/>
        <w:t xml:space="preserve">Anschlussleistung: 63.0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A5C66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2025-04-22T18:45:51+02:00</dcterms:created>
  <dcterms:modified xsi:type="dcterms:W3CDTF">2025-04-22T18:45:51+02:00</dcterms:modified>
</cp:coreProperties>
</file>

<file path=docProps/custom.xml><?xml version="1.0" encoding="utf-8"?>
<Properties xmlns="http://schemas.openxmlformats.org/officeDocument/2006/custom-properties" xmlns:vt="http://schemas.openxmlformats.org/officeDocument/2006/docPropsVTypes"/>
</file>