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E5B-S714-2A-840-090D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multilens optics, acrílico (PMMA), extensiva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1152 mm x 78 mm x 31 mm.</w:t>
      </w:r>
    </w:p>
    <w:p>
      <w:pPr>
        <w:numPr>
          <w:ilvl w:val="0"/>
          <w:numId w:val="3"/>
        </w:numPr>
      </w:pPr>
      <w:r>
        <w:rPr/>
        <w:t xml:space="preserve">Fluxo luminoso: 9000 lm, Fluxo luminoso específico: 143 lm/W.</w:t>
      </w:r>
    </w:p>
    <w:p>
      <w:pPr>
        <w:numPr>
          <w:ilvl w:val="0"/>
          <w:numId w:val="3"/>
        </w:numPr>
      </w:pPr>
      <w:r>
        <w:rPr/>
        <w:t xml:space="preserve">Potência: 63.0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7EA2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2024-04-29T12:58:40+02:00</dcterms:created>
  <dcterms:modified xsi:type="dcterms:W3CDTF">2024-04-29T12:58:40+02:00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