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E5B-S714-3A-840-090S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 Protection contre les surtensions (LN/PE): 1kV/2kV (pour les environnements industriels légers).</w:t>
      </w:r>
    </w:p>
    <w:p>
      <w:pPr>
        <w:numPr>
          <w:ilvl w:val="0"/>
          <w:numId w:val="3"/>
        </w:numPr>
      </w:pPr>
      <w:r>
        <w:rPr/>
        <w:t xml:space="preserve">Multilens , optique acrylique (PMMA), distribution lumineuse très extensive .</w:t>
      </w:r>
    </w:p>
    <w:p>
      <w:pPr>
        <w:numPr>
          <w:ilvl w:val="0"/>
          <w:numId w:val="3"/>
        </w:numPr>
      </w:pPr>
      <w:r>
        <w:rPr/>
        <w:t xml:space="preserve">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w:t>
      </w:r>
    </w:p>
    <w:p>
      <w:pPr>
        <w:numPr>
          <w:ilvl w:val="0"/>
          <w:numId w:val="3"/>
        </w:numPr>
      </w:pPr>
      <w:r>
        <w:rPr/>
        <w:t xml:space="preserve">Dimensions: 1152 mm x 78 mm x 31 mm.</w:t>
      </w:r>
    </w:p>
    <w:p>
      <w:pPr>
        <w:numPr>
          <w:ilvl w:val="0"/>
          <w:numId w:val="3"/>
        </w:numPr>
      </w:pPr>
      <w:r>
        <w:rPr/>
        <w:t xml:space="preserve">Flux lumineux: 9000 lm, Efficacité lumineuse: 146 lm/W.</w:t>
      </w:r>
    </w:p>
    <w:p>
      <w:pPr>
        <w:numPr>
          <w:ilvl w:val="0"/>
          <w:numId w:val="3"/>
        </w:numPr>
      </w:pPr>
      <w:r>
        <w:rPr/>
        <w:t xml:space="preserve">Consommation de courant: 61.5 W, non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93%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tôle d'acier laquée, RAL9003 - blanc.</w:t>
      </w:r>
    </w:p>
    <w:p>
      <w:pPr>
        <w:numPr>
          <w:ilvl w:val="0"/>
          <w:numId w:val="3"/>
        </w:numPr>
      </w:pPr>
      <w:r>
        <w:rPr/>
        <w:t xml:space="preserve">Degré de protection IP: IP20.</w:t>
      </w:r>
    </w:p>
    <w:p>
      <w:pPr>
        <w:numPr>
          <w:ilvl w:val="0"/>
          <w:numId w:val="3"/>
        </w:numPr>
      </w:pPr>
      <w:r>
        <w:rPr/>
        <w:t xml:space="preserve">Degré de protection IK: IK03.</w:t>
      </w:r>
    </w:p>
    <w:p>
      <w:pPr>
        <w:numPr>
          <w:ilvl w:val="0"/>
          <w:numId w:val="3"/>
        </w:numPr>
      </w:pPr>
      <w:r>
        <w:rPr/>
        <w:t xml:space="preserve">Source lumineuse remplaçable (LED uniquement) par un professionnel. Appareil&amp;nbsp;de contrôle remplaçable par un professionnel.</w:t>
      </w:r>
    </w:p>
    <w:p>
      <w:pPr>
        <w:numPr>
          <w:ilvl w:val="0"/>
          <w:numId w:val="3"/>
        </w:numPr>
      </w:pPr>
      <w:r>
        <w:rPr/>
        <w:t xml:space="preserve">Classe d'efficacité énergétique source lumineuse selon directive UE 2019/2015: E.</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BC4AB7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2025-03-01T19:58:37+01:00</dcterms:created>
  <dcterms:modified xsi:type="dcterms:W3CDTF">2025-03-01T19:58:37+01:00</dcterms:modified>
</cp:coreProperties>
</file>

<file path=docProps/custom.xml><?xml version="1.0" encoding="utf-8"?>
<Properties xmlns="http://schemas.openxmlformats.org/officeDocument/2006/custom-properties" xmlns:vt="http://schemas.openxmlformats.org/officeDocument/2006/docPropsVTypes"/>
</file>