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E5B-S715-3A-840-110S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multilens optics, acrílico (PMMA), muito extensiva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1499 mm x 78 mm x 31 mm.</w:t>
      </w:r>
    </w:p>
    <w:p>
      <w:pPr>
        <w:numPr>
          <w:ilvl w:val="0"/>
          <w:numId w:val="3"/>
        </w:numPr>
      </w:pPr>
      <w:r>
        <w:rPr/>
        <w:t xml:space="preserve">módulo/segmento de linha</w:t>
      </w:r>
    </w:p>
    <w:p>
      <w:pPr>
        <w:numPr>
          <w:ilvl w:val="0"/>
          <w:numId w:val="3"/>
        </w:numPr>
      </w:pPr>
      <w:r>
        <w:rPr/>
        <w:t xml:space="preserve">Fluxo luminoso: 11000 lm, Fluxo luminoso específico: 151 lm/W.</w:t>
      </w:r>
    </w:p>
    <w:p>
      <w:pPr>
        <w:numPr>
          <w:ilvl w:val="0"/>
          <w:numId w:val="3"/>
        </w:numPr>
      </w:pPr>
      <w:r>
        <w:rPr/>
        <w:t xml:space="preserve">Potência: 73.0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93%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724E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2025-03-01T19:58:47+01:00</dcterms:created>
  <dcterms:modified xsi:type="dcterms:W3CDTF">2025-03-01T19:58:47+01:00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