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E5B-S724-3A-840-180S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industrial, com proteção contra sobretensões (LN/PE) 2kV/4kV</w:t>
      </w:r>
    </w:p>
    <w:p>
      <w:pPr>
        <w:numPr>
          <w:ilvl w:val="0"/>
          <w:numId w:val="3"/>
        </w:numPr>
      </w:pPr>
      <w:r>
        <w:rPr/>
        <w:t xml:space="preserve">multilens optics, acrílico (PMMA), muito extensiva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1152 mm x 126 mm x 31 mm.</w:t>
      </w:r>
    </w:p>
    <w:p>
      <w:pPr>
        <w:numPr>
          <w:ilvl w:val="0"/>
          <w:numId w:val="3"/>
        </w:numPr>
      </w:pPr>
      <w:r>
        <w:rPr/>
        <w:t xml:space="preserve">Fluxo luminoso: 18000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120.0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93%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7286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2025-03-01T20:00:59+01:00</dcterms:created>
  <dcterms:modified xsi:type="dcterms:W3CDTF">2025-03-01T20:00:59+01:00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