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E5B-S724-4A-840-180S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luminaire, with surge protection (LN/PE) 2kV/4kV</w:t>
      </w:r>
    </w:p>
    <w:p>
      <w:pPr>
        <w:numPr>
          <w:ilvl w:val="0"/>
          <w:numId w:val="3"/>
        </w:numPr>
      </w:pPr>
      <w:r>
        <w:rPr/>
        <w:t xml:space="preserve">Multilens optics, acrylic (PMMA),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126 mm x 31 mm.</w:t>
      </w:r>
    </w:p>
    <w:p>
      <w:pPr>
        <w:numPr>
          <w:ilvl w:val="0"/>
          <w:numId w:val="3"/>
        </w:numPr>
      </w:pPr>
      <w:r>
        <w:rPr/>
        <w:t xml:space="preserve">Luminous flux: 18000 lm, Luminous efficacy: 150 lm/W.</w:t>
      </w:r>
    </w:p>
    <w:p>
      <w:pPr>
        <w:numPr>
          <w:ilvl w:val="0"/>
          <w:numId w:val="3"/>
        </w:numPr>
      </w:pPr>
      <w:r>
        <w:rPr/>
        <w:t xml:space="preserve">Power: 120.0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253B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2025-03-01T20:01:08+01:00</dcterms:created>
  <dcterms:modified xsi:type="dcterms:W3CDTF">2025-03-01T20:01:08+01:00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