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E5B-S725-3A-840-220D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mit Überspannungsschutz (LN/PE) 2kV/4kV</w:t>
      </w:r>
    </w:p>
    <w:p>
      <w:pPr>
        <w:numPr>
          <w:ilvl w:val="0"/>
          <w:numId w:val="3"/>
        </w:numPr>
      </w:pPr>
      <w:r>
        <w:rPr/>
        <w:t xml:space="preserve">Multilens Optik, acryl (PMMA), sehr 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1499 mm x 126 mm x 31 mm.</w:t>
      </w:r>
    </w:p>
    <w:p>
      <w:pPr>
        <w:numPr>
          <w:ilvl w:val="0"/>
          <w:numId w:val="3"/>
        </w:numPr>
      </w:pPr>
      <w:r>
        <w:rPr/>
        <w:t xml:space="preserve">Lichtstrom: 21500 lm, Spezifischer Lichtstrom: 148 lm/W.</w:t>
      </w:r>
    </w:p>
    <w:p>
      <w:pPr>
        <w:numPr>
          <w:ilvl w:val="0"/>
          <w:numId w:val="3"/>
        </w:numPr>
      </w:pPr>
      <w:r>
        <w:rPr/>
        <w:t xml:space="preserve">Anschlussleistung: 145.0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62441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2025-03-01T20:01:24+01:00</dcterms:created>
  <dcterms:modified xsi:type="dcterms:W3CDTF">2025-03-01T20:01:24+01:00</dcterms:modified>
</cp:coreProperties>
</file>

<file path=docProps/custom.xml><?xml version="1.0" encoding="utf-8"?>
<Properties xmlns="http://schemas.openxmlformats.org/officeDocument/2006/custom-properties" xmlns:vt="http://schemas.openxmlformats.org/officeDocument/2006/docPropsVTypes"/>
</file>