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E5B-S725-4A-840-220D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lineal, con protección contra sobretensiones (LN/PE) 2kV/4kV</w:t>
      </w:r>
    </w:p>
    <w:p>
      <w:pPr>
        <w:numPr>
          <w:ilvl w:val="0"/>
          <w:numId w:val="3"/>
        </w:numPr>
      </w:pPr>
      <w:r>
        <w:rPr/>
        <w:t xml:space="preserve">multilens óptica, acrílico (PMMA), asimétrica distribución luminosa.</w:t>
      </w:r>
    </w:p>
    <w:p>
      <w:pPr>
        <w:numPr>
          <w:ilvl w:val="0"/>
          <w:numId w:val="3"/>
        </w:numPr>
      </w:pPr>
      <w:r>
        <w:rPr/>
        <w:t xml:space="preserve">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</w:t>
      </w:r>
    </w:p>
    <w:p>
      <w:pPr>
        <w:numPr>
          <w:ilvl w:val="0"/>
          <w:numId w:val="3"/>
        </w:numPr>
      </w:pPr>
      <w:r>
        <w:rPr/>
        <w:t xml:space="preserve">Dimensiones: 1499 mm x 126 mm x 31 mm.</w:t>
      </w:r>
    </w:p>
    <w:p>
      <w:pPr>
        <w:numPr>
          <w:ilvl w:val="0"/>
          <w:numId w:val="3"/>
        </w:numPr>
      </w:pPr>
      <w:r>
        <w:rPr/>
        <w:t xml:space="preserve">Flujo luminoso: 21500 lm, Flujo luminoso específico: 148 lm/W.</w:t>
      </w:r>
    </w:p>
    <w:p>
      <w:pPr>
        <w:numPr>
          <w:ilvl w:val="0"/>
          <w:numId w:val="3"/>
        </w:numPr>
      </w:pPr>
      <w:r>
        <w:rPr/>
        <w:t xml:space="preserve">Consumo de energía: 145.0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93%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2563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2025-03-01T19:59:08+01:00</dcterms:created>
  <dcterms:modified xsi:type="dcterms:W3CDTF">2025-03-01T19:59:08+01:00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