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E5B-S725-4A-840-220D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industrial, com proteção contra sobretensões (LN/PE) 2kV/4kV</w:t>
      </w:r>
    </w:p>
    <w:p>
      <w:pPr>
        <w:numPr>
          <w:ilvl w:val="0"/>
          <w:numId w:val="3"/>
        </w:numPr>
      </w:pPr>
      <w:r>
        <w:rPr/>
        <w:t xml:space="preserve">multilens optics, acrílico (PMMA), assimétrica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1499 mm x 126 mm x 31 mm.</w:t>
      </w:r>
    </w:p>
    <w:p>
      <w:pPr>
        <w:numPr>
          <w:ilvl w:val="0"/>
          <w:numId w:val="3"/>
        </w:numPr>
      </w:pPr>
      <w:r>
        <w:rPr/>
        <w:t xml:space="preserve">Fluxo luminoso: 21500 lm, Fluxo luminoso específico: 148 lm/W.</w:t>
      </w:r>
    </w:p>
    <w:p>
      <w:pPr>
        <w:numPr>
          <w:ilvl w:val="0"/>
          <w:numId w:val="3"/>
        </w:numPr>
      </w:pPr>
      <w:r>
        <w:rPr/>
        <w:t xml:space="preserve">Potência: 145.0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93%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407E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2025-03-01T19:59:09+01:00</dcterms:created>
  <dcterms:modified xsi:type="dcterms:W3CDTF">2025-03-01T19:59:09+01:00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