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3300 lm, Spezifischer Lichtstrom: 127 lm/W.</w:t>
      </w:r>
    </w:p>
    <w:p>
      <w:pPr>
        <w:numPr>
          <w:ilvl w:val="0"/>
          <w:numId w:val="3"/>
        </w:numPr>
      </w:pPr>
      <w:r>
        <w:rPr/>
        <w:t xml:space="preserve">Stromverbrauch: 26.0 W, DALI Betriebsgerät gesteuert durch integrierten Sensor.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A52F2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2023-04-01T23:20:07+02:00</dcterms:created>
  <dcterms:modified xsi:type="dcterms:W3CDTF">2023-04-01T23:20:07+02:00</dcterms:modified>
</cp:coreProperties>
</file>

<file path=docProps/custom.xml><?xml version="1.0" encoding="utf-8"?>
<Properties xmlns="http://schemas.openxmlformats.org/officeDocument/2006/custom-properties" xmlns:vt="http://schemas.openxmlformats.org/officeDocument/2006/docPropsVTypes"/>
</file>