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E5M001/LEDN030DE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1498 mm x 60 mm x 100 mm.</w:t>
      </w:r>
    </w:p>
    <w:p>
      <w:pPr>
        <w:numPr>
          <w:ilvl w:val="0"/>
          <w:numId w:val="3"/>
        </w:numPr>
      </w:pPr>
      <w:r>
        <w:rPr/>
        <w:t xml:space="preserve">Fluxo luminoso: 3300 lm, Fluxo luminoso específico: 127 lm/W.</w:t>
      </w:r>
    </w:p>
    <w:p>
      <w:pPr>
        <w:numPr>
          <w:ilvl w:val="0"/>
          <w:numId w:val="3"/>
        </w:numPr>
      </w:pPr>
      <w:r>
        <w:rPr/>
        <w:t xml:space="preserve">Potência: 26.0 W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IK02.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C8CB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2024-04-30T08:21:37+02:00</dcterms:created>
  <dcterms:modified xsi:type="dcterms:W3CDTF">2024-04-30T08:21:37+02:00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