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E5M002/LEDN030D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1508 mm x 60 mm x 100 mm.</w:t>
      </w:r>
    </w:p>
    <w:p>
      <w:pPr>
        <w:numPr>
          <w:ilvl w:val="0"/>
          <w:numId w:val="3"/>
        </w:numPr>
      </w:pPr>
      <w:r>
        <w:rPr/>
        <w:t xml:space="preserve">Lichtstrom: 3300 lm, Spezifischer Lichtstrom: 127 lm/W.</w:t>
      </w:r>
    </w:p>
    <w:p>
      <w:pPr>
        <w:numPr>
          <w:ilvl w:val="0"/>
          <w:numId w:val="3"/>
        </w:numPr>
      </w:pPr>
      <w:r>
        <w:rPr/>
        <w:t xml:space="preserve">Anschlussleistung: 26.0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E232D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2024-04-30T08:13:18+02:00</dcterms:created>
  <dcterms:modified xsi:type="dcterms:W3CDTF">2024-04-30T08:13:18+02:00</dcterms:modified>
</cp:coreProperties>
</file>

<file path=docProps/custom.xml><?xml version="1.0" encoding="utf-8"?>
<Properties xmlns="http://schemas.openxmlformats.org/officeDocument/2006/custom-properties" xmlns:vt="http://schemas.openxmlformats.org/officeDocument/2006/docPropsVTypes"/>
</file>