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Coextrusion housing. For use in technical spaces and parking lots.</w:t>
      </w:r>
    </w:p>
    <w:p>
      <w:pPr>
        <w:numPr>
          <w:ilvl w:val="0"/>
          <w:numId w:val="3"/>
        </w:numPr>
      </w:pPr>
      <w:r>
        <w:rPr/>
        <w:t xml:space="preserve">Dimensions: 880 mm x 56 mm x 80 mm.</w:t>
      </w:r>
    </w:p>
    <w:p>
      <w:pPr>
        <w:numPr>
          <w:ilvl w:val="0"/>
          <w:numId w:val="3"/>
        </w:numPr>
      </w:pPr>
      <w:r>
        <w:rPr/>
        <w:t xml:space="preserve">Luminous flux: 3050 lm, Luminous efficacy: 115 lm/W.</w:t>
      </w:r>
    </w:p>
    <w:p>
      <w:pPr>
        <w:numPr>
          <w:ilvl w:val="0"/>
          <w:numId w:val="3"/>
        </w:numPr>
      </w:pPr>
      <w:r>
        <w:rPr/>
        <w:t xml:space="preserve">Power: 26.5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RAL7037 - dusty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D57F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2024-04-08T08:52:40+02:00</dcterms:created>
  <dcterms:modified xsi:type="dcterms:W3CDTF">2024-04-08T08:52:40+02:00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