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luminaire. Surge protection 1kV/2kV (for light industrial environments).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Coextrusion housing. For use in technical spaces and parking lots.</w:t>
      </w:r>
    </w:p>
    <w:p>
      <w:pPr>
        <w:numPr>
          <w:ilvl w:val="0"/>
          <w:numId w:val="3"/>
        </w:numPr>
      </w:pPr>
      <w:r>
        <w:rPr/>
        <w:t xml:space="preserve">Dimensions: 1260 mm x 56 mm x 80 mm.</w:t>
      </w:r>
    </w:p>
    <w:p>
      <w:pPr>
        <w:numPr>
          <w:ilvl w:val="0"/>
          <w:numId w:val="3"/>
        </w:numPr>
      </w:pPr>
      <w:r>
        <w:rPr/>
        <w:t xml:space="preserve">Luminous flux: 4000 lm, Luminous efficacy: 127 lm/W.</w:t>
      </w:r>
    </w:p>
    <w:p>
      <w:pPr>
        <w:numPr>
          <w:ilvl w:val="0"/>
          <w:numId w:val="3"/>
        </w:numPr>
      </w:pPr>
      <w:r>
        <w:rPr/>
        <w:t xml:space="preserve">Power: 31.5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RAL7037 - dusty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8C27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2024-04-29T12:26:10+02:00</dcterms:created>
  <dcterms:modified xsi:type="dcterms:W3CDTF">2024-04-29T12:26:10+02:00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