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E62/LED3N40S</w:t>
      </w:r>
    </w:p>
    <w:p/>
    <w:p>
      <w:pPr/>
      <w:r>
        <w:pict>
          <v:shape type="#_x0000_t75" style="width:250pt; height:22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pour locaux techniques et parkings.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locaux techniques et parkings.</w:t>
      </w:r>
    </w:p>
    <w:p>
      <w:pPr>
        <w:numPr>
          <w:ilvl w:val="0"/>
          <w:numId w:val="3"/>
        </w:numPr>
      </w:pPr>
      <w:r>
        <w:rPr/>
        <w:t xml:space="preserve">Dimensions: 1260 mm x 56 mm x 80 mm.</w:t>
      </w:r>
    </w:p>
    <w:p>
      <w:pPr>
        <w:numPr>
          <w:ilvl w:val="0"/>
          <w:numId w:val="3"/>
        </w:numPr>
      </w:pPr>
      <w:r>
        <w:rPr/>
        <w:t xml:space="preserve">Flux lumineux: 4000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31.0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RAL7037 - gris poussière.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F0EAA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2024-04-08T08:53:31+02:00</dcterms:created>
  <dcterms:modified xsi:type="dcterms:W3CDTF">2024-04-08T08:53:31+02:00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