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com um desenho esguio, para pavilhões desportivos.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Para pavilhões desportivos (em conformidade com a norma DIN 18032-3 / DIN 57710-13).</w:t>
      </w:r>
    </w:p>
    <w:p>
      <w:pPr>
        <w:numPr>
          <w:ilvl w:val="0"/>
          <w:numId w:val="3"/>
        </w:numPr>
      </w:pPr>
      <w:r>
        <w:rPr/>
        <w:t xml:space="preserve">Dimensões: 2070 mm x 90 mm x 88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18800 lm, Fluxo luminoso específico: 150 lm/W.</w:t>
      </w:r>
    </w:p>
    <w:p>
      <w:pPr>
        <w:numPr>
          <w:ilvl w:val="0"/>
          <w:numId w:val="3"/>
        </w:numPr>
      </w:pPr>
      <w:r>
        <w:rPr/>
        <w:t xml:space="preserve">Potência: 125.0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anodizado base, RAL7035-cinza claro.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2EE46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2023-04-01T23:46:44+02:00</dcterms:created>
  <dcterms:modified xsi:type="dcterms:W3CDTF">2023-04-01T23:46:44+02:00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