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E7120/LED3N192340ST8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Bollsäkra armaturer för sporthallar med smäcker design.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medelbredstrålande ljusfördelning.</w:t>
      </w:r>
    </w:p>
    <w:p>
      <w:pPr>
        <w:numPr>
          <w:ilvl w:val="0"/>
          <w:numId w:val="3"/>
        </w:numPr>
      </w:pPr>
      <w:r>
        <w:rPr/>
        <w:t xml:space="preserve">För sporthallar (I enlighet DIN 18032-3 / DIN 57710-13).</w:t>
      </w:r>
    </w:p>
    <w:p>
      <w:pPr>
        <w:numPr>
          <w:ilvl w:val="0"/>
          <w:numId w:val="3"/>
        </w:numPr>
      </w:pPr>
      <w:r>
        <w:rPr/>
        <w:t xml:space="preserve">Dimensioner: 3070 mm x 90 mm x 88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35600 lm, Specifikt ljusutbyte: 142 lm/W.</w:t>
      </w:r>
    </w:p>
    <w:p>
      <w:pPr>
        <w:numPr>
          <w:ilvl w:val="0"/>
          <w:numId w:val="3"/>
        </w:numPr>
      </w:pPr>
      <w:r>
        <w:rPr/>
        <w:t xml:space="preserve">Energiförbrukning: 250.0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Anodiserad aluminium armaturhus, RAL7035-ljusgrå.</w:t>
      </w:r>
    </w:p>
    <w:p>
      <w:pPr>
        <w:numPr>
          <w:ilvl w:val="0"/>
          <w:numId w:val="3"/>
        </w:numPr>
      </w:pPr>
      <w:r>
        <w:rPr/>
        <w:t xml:space="preserve">IP-klassning: IP40.</w:t>
      </w:r>
    </w:p>
    <w:p>
      <w:pPr>
        <w:numPr>
          <w:ilvl w:val="0"/>
          <w:numId w:val="3"/>
        </w:numPr>
      </w:pPr>
      <w:r>
        <w:rPr/>
        <w:t xml:space="preserve">IK-klassning: IK08.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42C08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2023-04-01T23:47:09+02:00</dcterms:created>
  <dcterms:modified xsi:type="dcterms:W3CDTF">2023-04-01T23:47:09+02:00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