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E7220/LED15N096170DT8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Luminarias 'ballproof' de diseño esbelto.</w:t>
      </w:r>
    </w:p>
    <w:p>
      <w:pPr>
        <w:numPr>
          <w:ilvl w:val="0"/>
          <w:numId w:val="3"/>
        </w:numPr>
      </w:pPr>
      <w:r>
        <w:rPr/>
        <w:t xml:space="preserve">LED+LENS™ óptica, lente y reflector de policarbonato (PC), extensiva distribución luminosa.</w:t>
      </w:r>
    </w:p>
    <w:p>
      <w:pPr>
        <w:numPr>
          <w:ilvl w:val="0"/>
          <w:numId w:val="3"/>
        </w:numPr>
      </w:pPr>
      <w:r>
        <w:rPr/>
        <w:t xml:space="preserve">Para pabellones deportivos (conforme a la DIN 18032-3 / DIN 57710-13).</w:t>
      </w:r>
    </w:p>
    <w:p>
      <w:pPr>
        <w:numPr>
          <w:ilvl w:val="0"/>
          <w:numId w:val="3"/>
        </w:numPr>
      </w:pPr>
      <w:r>
        <w:rPr/>
        <w:t xml:space="preserve">Dimensiones: 1570 mm x 90 mm x 88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17800 lm, Flujo luminoso específico: 140 lm/W.</w:t>
      </w:r>
    </w:p>
    <w:p>
      <w:pPr>
        <w:numPr>
          <w:ilvl w:val="0"/>
          <w:numId w:val="3"/>
        </w:numPr>
      </w:pPr>
      <w:r>
        <w:rPr/>
        <w:t xml:space="preserve">Consumo de energía: 127.0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99%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con UGR &lt;= 25 conforme a la norma EN 12464-1 para baja demanda visual , y movilidad frecuente en puesto de trabajo.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anodizado carcasa, RAL7035-gris luminoso.</w:t>
      </w:r>
    </w:p>
    <w:p>
      <w:pPr>
        <w:numPr>
          <w:ilvl w:val="0"/>
          <w:numId w:val="3"/>
        </w:numPr>
      </w:pPr>
      <w:r>
        <w:rPr/>
        <w:t xml:space="preserve">Grado de protección IP: IP40.</w:t>
      </w:r>
    </w:p>
    <w:p>
      <w:pPr>
        <w:numPr>
          <w:ilvl w:val="0"/>
          <w:numId w:val="3"/>
        </w:numPr>
      </w:pPr>
      <w:r>
        <w:rPr/>
        <w:t xml:space="preserve">Grado de protección IK: IK08.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DCB995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2023-04-01T23:49:08+02:00</dcterms:created>
  <dcterms:modified xsi:type="dcterms:W3CDTF">2023-04-01T23:49:08+02:00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