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E806/2NHD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685 mm x 180 mm x 165 mm.</w:t>
      </w:r>
    </w:p>
    <w:p>
      <w:pPr>
        <w:numPr>
          <w:ilvl w:val="0"/>
          <w:numId w:val="3"/>
        </w:numPr>
      </w:pPr>
      <w:r>
        <w:rPr/>
        <w:t xml:space="preserve">individuel linéaire</w:t>
      </w:r>
    </w:p>
    <w:p>
      <w:pPr>
        <w:numPr>
          <w:ilvl w:val="0"/>
          <w:numId w:val="3"/>
        </w:numPr>
      </w:pPr>
      <w:r>
        <w:rPr/>
        <w:t xml:space="preserve">Flux lumineux: 14000 lm, Efficacité lumineuse: 170 lm/W.</w:t>
      </w:r>
    </w:p>
    <w:p>
      <w:pPr>
        <w:numPr>
          <w:ilvl w:val="0"/>
          <w:numId w:val="3"/>
        </w:numPr>
      </w:pPr>
      <w:r>
        <w:rPr/>
        <w:t xml:space="preserve">Consommation de courant: 82.5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90%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- 45°C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A7798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2025-04-30T07:55:56+02:00</dcterms:created>
  <dcterms:modified xsi:type="dcterms:W3CDTF">2025-04-30T07:55:56+02:00</dcterms:modified>
</cp:coreProperties>
</file>

<file path=docProps/custom.xml><?xml version="1.0" encoding="utf-8"?>
<Properties xmlns="http://schemas.openxmlformats.org/officeDocument/2006/custom-properties" xmlns:vt="http://schemas.openxmlformats.org/officeDocument/2006/docPropsVTypes"/>
</file>