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E806/3NHDE</w:t>
      </w:r>
    </w:p>
    <w:p/>
    <w:p>
      <w:pPr/>
      <w:r>
        <w:pict>
          <v:shape type="#_x0000_t75" style="width:250pt; height:172.2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Highbay mit dreieckigem Profil und Präsenz- und Tageslichtsensor. Überspannungsschutz (LN/PE) 2kV/4kV.</w:t>
      </w:r>
    </w:p>
    <w:p>
      <w:pPr>
        <w:numPr>
          <w:ilvl w:val="0"/>
          <w:numId w:val="3"/>
        </w:numPr>
      </w:pPr>
      <w:r>
        <w:rPr/>
        <w:t xml:space="preserve">Multilens Optik, Polycarbonat (PC), tief strahlende Lichtverteilung.</w:t>
      </w:r>
    </w:p>
    <w:p>
      <w:pPr>
        <w:numPr>
          <w:ilvl w:val="0"/>
          <w:numId w:val="3"/>
        </w:numPr>
      </w:pPr>
      <w:r>
        <w:rPr/>
        <w:t xml:space="preserve">Mit verstärktem EasyAir Präsenz- und Tageslichtsensor. Masterleuchte für Master/Slave-Kombination für bis zu 20 DALI-Betriebsgerät. Wahlweise mit IP65 RST20i Wieland-Stecker oder mit zwei M20-Kabelverschraubungen am gleichen Ende für Daisy-Chaining. Glatte dreieckige Form ohne hervorstehende Gehäuseteile oder Kühlrippen, minimiert die Staubansammlung und ermöglicht eine einfache Reinigung. Geeignet für den Einsatz in lebensmittelverarbeitenden Unternehmen, mit HACCP-Konformitätserklärung.</w:t>
      </w:r>
    </w:p>
    <w:p>
      <w:pPr>
        <w:numPr>
          <w:ilvl w:val="0"/>
          <w:numId w:val="3"/>
        </w:numPr>
      </w:pPr>
      <w:r>
        <w:rPr/>
        <w:t xml:space="preserve">Abmessungen: 1125 mm x 180 mm x 165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Lichtstrom: 21000 lm, Spezifischer Lichtstrom: 175 lm/W.</w:t>
      </w:r>
    </w:p>
    <w:p>
      <w:pPr>
        <w:numPr>
          <w:ilvl w:val="0"/>
          <w:numId w:val="3"/>
        </w:numPr>
      </w:pPr>
      <w:r>
        <w:rPr/>
        <w:t xml:space="preserve">Anschlussleistung: 120.0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90%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Multilens für eine blendfreie Lichtverteilung mit UGR &lt;= 19 und einer Leuchtdichte @ 65°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IP65.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A0CDE0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2025-04-30T07:57:06+02:00</dcterms:created>
  <dcterms:modified xsi:type="dcterms:W3CDTF">2025-04-30T07:57:06+02:00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