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E806/4NMD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highbay con diseño triangular.</w:t>
      </w:r>
    </w:p>
    <w:p>
      <w:pPr>
        <w:numPr>
          <w:ilvl w:val="0"/>
          <w:numId w:val="3"/>
        </w:numPr>
      </w:pPr>
      <w:r>
        <w:rPr/>
        <w:t xml:space="preserve">multilens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Forma triangular lisa sin disipadores salientes, minimiza la acumulación de polvo y permite una fácil limpieza. Apto para uso en empresas procesadoras de alimentos, con declaración de conformidad HACCP., Opcionalmente disponible con cableado pasante de 5 x2,5 mm2, con conector Wieland IP 65 o con dos prensa estopas en el mismo lado.</w:t>
      </w:r>
    </w:p>
    <w:p>
      <w:pPr>
        <w:numPr>
          <w:ilvl w:val="0"/>
          <w:numId w:val="3"/>
        </w:numPr>
      </w:pPr>
      <w:r>
        <w:rPr/>
        <w:t xml:space="preserve">Dimensiones: 1325 mm x 180 mm x 165 mm.</w:t>
      </w:r>
    </w:p>
    <w:p>
      <w:pPr>
        <w:numPr>
          <w:ilvl w:val="0"/>
          <w:numId w:val="3"/>
        </w:numPr>
      </w:pPr>
      <w:r>
        <w:rPr/>
        <w:t xml:space="preserve">Flujo luminoso: 24400 lm, Flujo luminoso específico: 167 lm/W.</w:t>
      </w:r>
    </w:p>
    <w:p>
      <w:pPr>
        <w:numPr>
          <w:ilvl w:val="0"/>
          <w:numId w:val="3"/>
        </w:numPr>
      </w:pPr>
      <w:r>
        <w:rPr/>
        <w:t xml:space="preserve">Consumo de energía: 145.9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91%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4845F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2023-08-23T08:23:08+02:00</dcterms:created>
  <dcterms:modified xsi:type="dcterms:W3CDTF">2023-08-23T08:23:08+02:00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