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E806/6NHD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com design triangular, com proteção contra sobretensões (LN/PE) 2kV/4kV.</w:t>
      </w:r>
    </w:p>
    <w:p>
      <w:pPr>
        <w:numPr>
          <w:ilvl w:val="0"/>
          <w:numId w:val="3"/>
        </w:numPr>
      </w:pPr>
      <w:r>
        <w:rPr/>
        <w:t xml:space="preserve">multilens optics, policarbonato (PC), intensiva distribuição luminosa.</w:t>
      </w:r>
    </w:p>
    <w:p>
      <w:pPr>
        <w:numPr>
          <w:ilvl w:val="0"/>
          <w:numId w:val="3"/>
        </w:numPr>
      </w:pPr>
      <w:r>
        <w:rPr/>
        <w:t xml:space="preserve">Forma triangular lisa sem obstruções ou grelhas de arrefecimento, minimiza a acumulação de pó e permite uma limpeza fácil. Adequado para utilização em empresas de processamento de alimentos, com declaração de conformidade HACCP. Opcionalmente disponível com cablagem de 5 x 2,5 mm2, com conectores wieland IP65 ou com dois bucins na mesma extremidade para looping-in.</w:t>
      </w:r>
    </w:p>
    <w:p>
      <w:pPr>
        <w:numPr>
          <w:ilvl w:val="0"/>
          <w:numId w:val="3"/>
        </w:numPr>
      </w:pPr>
      <w:r>
        <w:rPr/>
        <w:t xml:space="preserve">Dimensões: 1965 mm x 180 mm x 165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Fluxo luminoso: 42000 lm, Fluxo luminoso específico: 175 lm/W.</w:t>
      </w:r>
    </w:p>
    <w:p>
      <w:pPr>
        <w:numPr>
          <w:ilvl w:val="0"/>
          <w:numId w:val="3"/>
        </w:numPr>
      </w:pPr>
      <w:r>
        <w:rPr/>
        <w:t xml:space="preserve">Potência: 240.0 W, DALI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90%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lacado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IP65.</w:t>
      </w:r>
    </w:p>
    <w:p>
      <w:pPr>
        <w:numPr>
          <w:ilvl w:val="0"/>
          <w:numId w:val="3"/>
        </w:numPr>
      </w:pPr>
      <w:r>
        <w:rPr/>
        <w:t xml:space="preserve">Grau de protecção IK: IK08.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C48E79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2025-04-30T07:56:19+02:00</dcterms:created>
  <dcterms:modified xsi:type="dcterms:W3CDTF">2025-04-30T07:56:19+02:00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