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with triangular design, with surge protection (LN/PE) 2kV/4kV.</w:t>
      </w:r>
    </w:p>
    <w:p>
      <w:pPr>
        <w:numPr>
          <w:ilvl w:val="0"/>
          <w:numId w:val="3"/>
        </w:numPr>
      </w:pPr>
      <w:r>
        <w:rPr/>
        <w:t xml:space="preserve">Multilens optics, polycarbonate (PC), narrow-angle light distribution.</w:t>
      </w:r>
    </w:p>
    <w:p>
      <w:pPr>
        <w:numPr>
          <w:ilvl w:val="0"/>
          <w:numId w:val="3"/>
        </w:numPr>
      </w:pPr>
      <w:r>
        <w:rPr/>
        <w:t xml:space="preserve">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</w:t>
      </w:r>
    </w:p>
    <w:p>
      <w:pPr>
        <w:numPr>
          <w:ilvl w:val="0"/>
          <w:numId w:val="3"/>
        </w:numPr>
      </w:pPr>
      <w:r>
        <w:rPr/>
        <w:t xml:space="preserve">Dimensions: 1965 mm x 180 mm x 165 mm.</w:t>
      </w:r>
    </w:p>
    <w:p>
      <w:pPr>
        <w:numPr>
          <w:ilvl w:val="0"/>
          <w:numId w:val="3"/>
        </w:numPr>
      </w:pPr>
      <w:r>
        <w:rPr/>
        <w:t xml:space="preserve">Luminous flux: 36000 lm, Luminous efficacy: 164 lm/W.</w:t>
      </w:r>
    </w:p>
    <w:p>
      <w:pPr>
        <w:numPr>
          <w:ilvl w:val="0"/>
          <w:numId w:val="3"/>
        </w:numPr>
      </w:pPr>
      <w:r>
        <w:rPr/>
        <w:t xml:space="preserve">Power: 220.0 W, DALI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91%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IK08.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-40°C - 55°C.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C5A4D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2024-04-29T12:27:43+02:00</dcterms:created>
  <dcterms:modified xsi:type="dcterms:W3CDTF">2024-04-29T12:27:43+02:00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