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1965 mm x 180 mm x 165 mm.</w:t>
      </w:r>
    </w:p>
    <w:p>
      <w:pPr>
        <w:numPr>
          <w:ilvl w:val="0"/>
          <w:numId w:val="3"/>
        </w:numPr>
      </w:pPr>
      <w:r>
        <w:rPr/>
        <w:t xml:space="preserve">Ljusflöde: 36600 lm, Specifikt ljusutbyte: 166 lm/W.</w:t>
      </w:r>
    </w:p>
    <w:p>
      <w:pPr>
        <w:numPr>
          <w:ilvl w:val="0"/>
          <w:numId w:val="3"/>
        </w:numPr>
      </w:pPr>
      <w:r>
        <w:rPr/>
        <w:t xml:space="preserve">Energiförbrukning: 220.2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E348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2023-08-23T08:23:15+02:00</dcterms:created>
  <dcterms:modified xsi:type="dcterms:W3CDTF">2023-08-23T08:23:15+02:00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