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triangular.</w:t>
      </w:r>
    </w:p>
    <w:p>
      <w:pPr>
        <w:numPr>
          <w:ilvl w:val="0"/>
          <w:numId w:val="3"/>
        </w:numPr>
      </w:pPr>
      <w:r>
        <w:rPr/>
        <w:t xml:space="preserve">multilens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685 mm x 180 mm x 165 mm.</w:t>
      </w:r>
    </w:p>
    <w:p>
      <w:pPr>
        <w:numPr>
          <w:ilvl w:val="0"/>
          <w:numId w:val="3"/>
        </w:numPr>
      </w:pPr>
      <w:r>
        <w:rPr/>
        <w:t xml:space="preserve">Fluxo luminoso: 12000 lm, Fluxo luminoso específico: 162 lm/W.</w:t>
      </w:r>
    </w:p>
    <w:p>
      <w:pPr>
        <w:numPr>
          <w:ilvl w:val="0"/>
          <w:numId w:val="3"/>
        </w:numPr>
      </w:pPr>
      <w:r>
        <w:rPr/>
        <w:t xml:space="preserve">Potência: 74.0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91%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FA98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2024-01-15T12:36:50+01:00</dcterms:created>
  <dcterms:modified xsi:type="dcterms:W3CDTF">2024-01-15T12:36:50+01:00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