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fijo extensiva media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63 mm.</w:t>
      </w:r>
    </w:p>
    <w:p>
      <w:pPr>
        <w:numPr>
          <w:ilvl w:val="0"/>
          <w:numId w:val="3"/>
        </w:numPr>
      </w:pPr>
      <w:r>
        <w:rPr/>
        <w:t xml:space="preserve">redondo individual Techo cortado: Ø 81 mm.</w:t>
      </w:r>
    </w:p>
    <w:p>
      <w:pPr>
        <w:numPr>
          <w:ilvl w:val="0"/>
          <w:numId w:val="3"/>
        </w:numPr>
      </w:pPr>
      <w:r>
        <w:rPr/>
        <w:t xml:space="preserve">Flujo luminoso: 780 lm, Flujo luminoso específico: 107 lm/W.</w:t>
      </w:r>
    </w:p>
    <w:p>
      <w:pPr>
        <w:numPr>
          <w:ilvl w:val="0"/>
          <w:numId w:val="3"/>
        </w:numPr>
      </w:pPr>
      <w:r>
        <w:rPr/>
        <w:t xml:space="preserve">Consumo de energía: 7.3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B5A4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2025-03-01T20:09:46+01:00</dcterms:created>
  <dcterms:modified xsi:type="dcterms:W3CDTF">2025-03-01T20:09:46+01:00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