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arquitectónico.</w:t>
      </w:r>
    </w:p>
    <w:p>
      <w:pPr>
        <w:numPr>
          <w:ilvl w:val="0"/>
          <w:numId w:val="3"/>
        </w:numPr>
      </w:pPr>
      <w:r>
        <w:rPr/>
        <w:t xml:space="preserve">LED+LENS™ Flare óptica, lente de policarbonato (PC), fijo extensiva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98 mm x 63 mm.</w:t>
      </w:r>
    </w:p>
    <w:p>
      <w:pPr>
        <w:numPr>
          <w:ilvl w:val="0"/>
          <w:numId w:val="3"/>
        </w:numPr>
      </w:pPr>
      <w:r>
        <w:rPr/>
        <w:t xml:space="preserve">redondo individual Techo cortado: Ø 81 mm.</w:t>
      </w:r>
    </w:p>
    <w:p>
      <w:pPr>
        <w:numPr>
          <w:ilvl w:val="0"/>
          <w:numId w:val="3"/>
        </w:numPr>
      </w:pPr>
      <w:r>
        <w:rPr/>
        <w:t xml:space="preserve">Flujo luminoso: 1350 lm, Flujo luminoso específico: 113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0D78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2025-03-01T20:10:05+01:00</dcterms:created>
  <dcterms:modified xsi:type="dcterms:W3CDTF">2025-03-01T20:10:05+01:00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