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fixed wide-angle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63 mm.</w:t>
      </w:r>
    </w:p>
    <w:p>
      <w:pPr>
        <w:numPr>
          <w:ilvl w:val="0"/>
          <w:numId w:val="3"/>
        </w:numPr>
      </w:pPr>
      <w:r>
        <w:rPr/>
        <w:t xml:space="preserve">individuel rond Découpe plafond: Ø 81 mm.</w:t>
      </w:r>
    </w:p>
    <w:p>
      <w:pPr>
        <w:numPr>
          <w:ilvl w:val="0"/>
          <w:numId w:val="3"/>
        </w:numPr>
      </w:pPr>
      <w:r>
        <w:rPr/>
        <w:t xml:space="preserve">Flux lumineux: 1350 lm, Efficacité lumineuse: 113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D424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2025-03-01T20:10:05+01:00</dcterms:created>
  <dcterms:modified xsi:type="dcterms:W3CDTF">2025-03-01T20:10:05+01:00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