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orientable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93 mm.</w:t>
      </w:r>
    </w:p>
    <w:p>
      <w:pPr>
        <w:numPr>
          <w:ilvl w:val="0"/>
          <w:numId w:val="3"/>
        </w:numPr>
      </w:pPr>
      <w:r>
        <w:rPr/>
        <w:t xml:space="preserve">individuel rond Découpe plafond: Ø 86 mm.</w:t>
      </w:r>
    </w:p>
    <w:p>
      <w:pPr>
        <w:numPr>
          <w:ilvl w:val="0"/>
          <w:numId w:val="3"/>
        </w:numPr>
      </w:pPr>
      <w:r>
        <w:rPr/>
        <w:t xml:space="preserve">Flux lumineux: 975 lm, Efficacité lumineuse: 115 lm/W.</w:t>
      </w:r>
    </w:p>
    <w:p>
      <w:pPr>
        <w:numPr>
          <w:ilvl w:val="0"/>
          <w:numId w:val="3"/>
        </w:numPr>
      </w:pPr>
      <w:r>
        <w:rPr/>
        <w:t xml:space="preserve">Consommation de courant: 8.4 W, non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97%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Appareil&amp;nbsp;de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5A142A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2025-03-01T20:06:56+01:00</dcterms:created>
  <dcterms:modified xsi:type="dcterms:W3CDTF">2025-03-01T20:06:56+01:00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