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richtbaar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93 mm.</w:t>
      </w:r>
    </w:p>
    <w:p>
      <w:pPr>
        <w:numPr>
          <w:ilvl w:val="0"/>
          <w:numId w:val="3"/>
        </w:numPr>
      </w:pPr>
      <w:r>
        <w:rPr/>
        <w:t xml:space="preserve">individueel rond Plafond uitsparing: Ø 86 mm.</w:t>
      </w:r>
    </w:p>
    <w:p>
      <w:pPr>
        <w:numPr>
          <w:ilvl w:val="0"/>
          <w:numId w:val="3"/>
        </w:numPr>
      </w:pPr>
      <w:r>
        <w:rPr/>
        <w:t xml:space="preserve">Lichtstroom: 755 lm, Specifieke lichtstroom: 99 lm/W.</w:t>
      </w:r>
    </w:p>
    <w:p>
      <w:pPr>
        <w:numPr>
          <w:ilvl w:val="0"/>
          <w:numId w:val="3"/>
        </w:numPr>
      </w:pPr>
      <w:r>
        <w:rPr/>
        <w:t xml:space="preserve">Opgenomen vermogen: 7.6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4CF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