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direccional extensiva média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93 mm.</w:t>
      </w:r>
    </w:p>
    <w:p>
      <w:pPr>
        <w:numPr>
          <w:ilvl w:val="0"/>
          <w:numId w:val="3"/>
        </w:numPr>
      </w:pPr>
      <w:r>
        <w:rPr/>
        <w:t xml:space="preserve">individual redondo Recorte no teto: Ø 86 mm.</w:t>
      </w:r>
    </w:p>
    <w:p>
      <w:pPr>
        <w:numPr>
          <w:ilvl w:val="0"/>
          <w:numId w:val="3"/>
        </w:numPr>
      </w:pPr>
      <w:r>
        <w:rPr/>
        <w:t xml:space="preserve">Fluxo luminoso: 755 lm, Fluxo luminoso específico: 99 lm/W.</w:t>
      </w:r>
    </w:p>
    <w:p>
      <w:pPr>
        <w:numPr>
          <w:ilvl w:val="0"/>
          <w:numId w:val="3"/>
        </w:numPr>
      </w:pPr>
      <w:r>
        <w:rPr/>
        <w:t xml:space="preserve">Potência: 7.6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C71C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2025-03-01T20:11:26+01:00</dcterms:created>
  <dcterms:modified xsi:type="dcterms:W3CDTF">2025-03-01T20:11:26+01:00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