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K113/3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304 mm x 155 mm x 73 mm.</w:t>
      </w:r>
    </w:p>
    <w:p>
      <w:pPr>
        <w:numPr>
          <w:ilvl w:val="0"/>
          <w:numId w:val="3"/>
        </w:numPr>
      </w:pPr>
      <w:r>
        <w:rPr/>
        <w:t xml:space="preserve">Automatisk anslutning (upp till 2.5 mm²). Tillbehör för infällt montage.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320 lm.</w:t>
      </w:r>
    </w:p>
    <w:p>
      <w:pPr>
        <w:numPr>
          <w:ilvl w:val="0"/>
          <w:numId w:val="3"/>
        </w:numPr>
      </w:pPr>
      <w:r>
        <w:rPr/>
        <w:t xml:space="preserve">Energiförbrukning: 2.3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17.1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14.6 m.  Avstånd öppna ytor: Vid en installationshöjd på 2.8 m får man 0.5 lux på golvnivån med ett c/c-avstånd (“b”) på 20.9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A377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2025-04-17T08:50:55+02:00</dcterms:created>
  <dcterms:modified xsi:type="dcterms:W3CDTF">2025-04-17T08:50:55+02:00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